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E3" w:rsidRPr="00180DB0" w:rsidRDefault="008B0AE3" w:rsidP="00150186">
      <w:pPr>
        <w:jc w:val="center"/>
        <w:rPr>
          <w:rFonts w:asciiTheme="majorHAnsi" w:hAnsiTheme="majorHAnsi"/>
          <w:b/>
          <w:sz w:val="22"/>
        </w:rPr>
      </w:pPr>
    </w:p>
    <w:tbl>
      <w:tblPr>
        <w:tblStyle w:val="aa"/>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7"/>
        <w:gridCol w:w="1700"/>
        <w:gridCol w:w="1560"/>
        <w:gridCol w:w="1701"/>
        <w:gridCol w:w="2727"/>
      </w:tblGrid>
      <w:tr w:rsidR="005F7FD8" w:rsidRPr="00180DB0" w:rsidTr="007D5A84">
        <w:tc>
          <w:tcPr>
            <w:tcW w:w="2377" w:type="dxa"/>
            <w:vAlign w:val="center"/>
          </w:tcPr>
          <w:p w:rsidR="005F7FD8" w:rsidRPr="00180DB0" w:rsidRDefault="005F7FD8" w:rsidP="007D5A84">
            <w:pPr>
              <w:ind w:left="-567"/>
              <w:jc w:val="center"/>
              <w:rPr>
                <w:rFonts w:asciiTheme="majorHAnsi" w:hAnsiTheme="majorHAnsi"/>
                <w:b/>
                <w:sz w:val="22"/>
              </w:rPr>
            </w:pPr>
            <w:r w:rsidRPr="00180DB0">
              <w:rPr>
                <w:rFonts w:asciiTheme="majorHAnsi" w:hAnsiTheme="majorHAnsi"/>
                <w:b/>
                <w:noProof/>
                <w:sz w:val="22"/>
                <w:lang w:val="ru-RU"/>
              </w:rPr>
              <w:drawing>
                <wp:inline distT="0" distB="0" distL="0" distR="0">
                  <wp:extent cx="1232535" cy="391160"/>
                  <wp:effectExtent l="0" t="0" r="1206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35393" cy="392067"/>
                          </a:xfrm>
                          <a:prstGeom prst="rect">
                            <a:avLst/>
                          </a:prstGeom>
                          <a:noFill/>
                          <a:ln>
                            <a:noFill/>
                          </a:ln>
                        </pic:spPr>
                      </pic:pic>
                    </a:graphicData>
                  </a:graphic>
                </wp:inline>
              </w:drawing>
            </w:r>
          </w:p>
        </w:tc>
        <w:tc>
          <w:tcPr>
            <w:tcW w:w="1700" w:type="dxa"/>
            <w:vAlign w:val="center"/>
          </w:tcPr>
          <w:p w:rsidR="005F7FD8" w:rsidRPr="00180DB0" w:rsidRDefault="005F7FD8" w:rsidP="00A77A00">
            <w:pPr>
              <w:jc w:val="center"/>
              <w:rPr>
                <w:rFonts w:asciiTheme="majorHAnsi" w:hAnsiTheme="majorHAnsi"/>
                <w:sz w:val="22"/>
              </w:rPr>
            </w:pPr>
            <w:r w:rsidRPr="00180DB0">
              <w:rPr>
                <w:rFonts w:asciiTheme="majorHAnsi" w:hAnsiTheme="majorHAnsi"/>
                <w:noProof/>
                <w:sz w:val="22"/>
                <w:lang w:val="ru-RU"/>
              </w:rPr>
              <w:drawing>
                <wp:inline distT="0" distB="0" distL="0" distR="0">
                  <wp:extent cx="877904" cy="758190"/>
                  <wp:effectExtent l="0" t="0" r="11430" b="3810"/>
                  <wp:docPr id="7" name="Рисунок 1" descr="Описание: Описание: LOGO 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LOGO CVU"/>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77904" cy="758190"/>
                          </a:xfrm>
                          <a:prstGeom prst="rect">
                            <a:avLst/>
                          </a:prstGeom>
                          <a:noFill/>
                          <a:ln>
                            <a:noFill/>
                          </a:ln>
                        </pic:spPr>
                      </pic:pic>
                    </a:graphicData>
                  </a:graphic>
                </wp:inline>
              </w:drawing>
            </w:r>
          </w:p>
        </w:tc>
        <w:tc>
          <w:tcPr>
            <w:tcW w:w="1560" w:type="dxa"/>
            <w:vAlign w:val="center"/>
          </w:tcPr>
          <w:p w:rsidR="005F7FD8" w:rsidRPr="00180DB0" w:rsidRDefault="005F7FD8" w:rsidP="00A77A00">
            <w:pPr>
              <w:jc w:val="center"/>
              <w:rPr>
                <w:rFonts w:asciiTheme="majorHAnsi" w:hAnsiTheme="majorHAnsi"/>
                <w:b/>
                <w:sz w:val="22"/>
              </w:rPr>
            </w:pPr>
            <w:r w:rsidRPr="00180DB0">
              <w:rPr>
                <w:rFonts w:asciiTheme="majorHAnsi" w:hAnsiTheme="majorHAnsi"/>
                <w:b/>
                <w:noProof/>
                <w:sz w:val="22"/>
                <w:lang w:val="ru-RU"/>
              </w:rPr>
              <w:drawing>
                <wp:inline distT="0" distB="0" distL="0" distR="0">
                  <wp:extent cx="543080" cy="872490"/>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3244" cy="872754"/>
                          </a:xfrm>
                          <a:prstGeom prst="rect">
                            <a:avLst/>
                          </a:prstGeom>
                          <a:noFill/>
                          <a:ln>
                            <a:noFill/>
                          </a:ln>
                        </pic:spPr>
                      </pic:pic>
                    </a:graphicData>
                  </a:graphic>
                </wp:inline>
              </w:drawing>
            </w:r>
          </w:p>
        </w:tc>
        <w:tc>
          <w:tcPr>
            <w:tcW w:w="1701" w:type="dxa"/>
            <w:vAlign w:val="center"/>
          </w:tcPr>
          <w:p w:rsidR="005F7FD8" w:rsidRPr="00180DB0" w:rsidRDefault="005F7FD8" w:rsidP="00A77A00">
            <w:pPr>
              <w:jc w:val="center"/>
              <w:rPr>
                <w:rFonts w:asciiTheme="majorHAnsi" w:hAnsiTheme="majorHAnsi"/>
                <w:b/>
                <w:sz w:val="22"/>
              </w:rPr>
            </w:pPr>
            <w:r w:rsidRPr="00180DB0">
              <w:rPr>
                <w:rFonts w:asciiTheme="majorHAnsi" w:hAnsiTheme="majorHAnsi"/>
                <w:b/>
                <w:noProof/>
                <w:sz w:val="22"/>
                <w:lang w:val="ru-RU"/>
              </w:rPr>
              <w:drawing>
                <wp:inline distT="0" distB="0" distL="0" distR="0">
                  <wp:extent cx="864235" cy="747051"/>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64514" cy="747292"/>
                          </a:xfrm>
                          <a:prstGeom prst="rect">
                            <a:avLst/>
                          </a:prstGeom>
                          <a:noFill/>
                          <a:ln>
                            <a:noFill/>
                          </a:ln>
                        </pic:spPr>
                      </pic:pic>
                    </a:graphicData>
                  </a:graphic>
                </wp:inline>
              </w:drawing>
            </w:r>
          </w:p>
        </w:tc>
        <w:tc>
          <w:tcPr>
            <w:tcW w:w="2727" w:type="dxa"/>
          </w:tcPr>
          <w:p w:rsidR="005F7FD8" w:rsidRPr="00180DB0" w:rsidRDefault="004E3AD9" w:rsidP="00A77A00">
            <w:pPr>
              <w:jc w:val="center"/>
              <w:rPr>
                <w:rFonts w:asciiTheme="majorHAnsi" w:hAnsiTheme="majorHAnsi"/>
                <w:b/>
                <w:sz w:val="22"/>
                <w:lang w:eastAsia="uk-UA"/>
              </w:rPr>
            </w:pPr>
            <w:r w:rsidRPr="00180DB0">
              <w:rPr>
                <w:rFonts w:asciiTheme="majorHAnsi" w:hAnsiTheme="majorHAnsi"/>
                <w:b/>
                <w:noProof/>
                <w:sz w:val="22"/>
                <w:lang w:val="ru-RU"/>
              </w:rPr>
              <w:drawing>
                <wp:inline distT="0" distB="0" distL="0" distR="0">
                  <wp:extent cx="1299081" cy="998561"/>
                  <wp:effectExtent l="0" t="0" r="0" b="0"/>
                  <wp:docPr id="3" name="Рисунок 3" descr="D:\BABYCH_FILES\Dropbox\ОПОРА\1.RADA 8.0\1.EVENTS\22.01.14_OPORA_CVU,Internews,IFES_Round Table_Elect.Systems\logos\logo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BYCH_FILES\Dropbox\ОПОРА\1.RADA 8.0\1.EVENTS\22.01.14_OPORA_CVU,Internews,IFES_Round Table_Elect.Systems\logos\logo_7.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02575" cy="1001247"/>
                          </a:xfrm>
                          <a:prstGeom prst="rect">
                            <a:avLst/>
                          </a:prstGeom>
                          <a:noFill/>
                          <a:ln>
                            <a:noFill/>
                          </a:ln>
                        </pic:spPr>
                      </pic:pic>
                    </a:graphicData>
                  </a:graphic>
                </wp:inline>
              </w:drawing>
            </w:r>
          </w:p>
        </w:tc>
      </w:tr>
    </w:tbl>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2 лютого 2015 р.</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center"/>
        <w:rPr>
          <w:rFonts w:asciiTheme="majorHAnsi" w:hAnsiTheme="majorHAnsi"/>
          <w:b/>
          <w:sz w:val="22"/>
        </w:rPr>
      </w:pPr>
      <w:r w:rsidRPr="00180DB0">
        <w:rPr>
          <w:rFonts w:asciiTheme="majorHAnsi" w:hAnsiTheme="majorHAnsi"/>
          <w:b/>
          <w:sz w:val="22"/>
        </w:rPr>
        <w:t>ЗАЯВА ЩОДО НЕОБХІДНОСТІ НЕВІДКЛАДНОГО СТВОРЕННЯ РОБОЧОЇ ГРУПИ</w:t>
      </w:r>
    </w:p>
    <w:p w:rsidR="00180DB0" w:rsidRPr="00180DB0" w:rsidRDefault="00180DB0" w:rsidP="00180DB0">
      <w:pPr>
        <w:ind w:left="-567"/>
        <w:jc w:val="center"/>
        <w:rPr>
          <w:rFonts w:asciiTheme="majorHAnsi" w:hAnsiTheme="majorHAnsi"/>
          <w:b/>
          <w:sz w:val="22"/>
        </w:rPr>
      </w:pPr>
      <w:r w:rsidRPr="00180DB0">
        <w:rPr>
          <w:rFonts w:asciiTheme="majorHAnsi" w:hAnsiTheme="majorHAnsi"/>
          <w:b/>
          <w:sz w:val="22"/>
        </w:rPr>
        <w:t>З ПИТАНЬ РЕФОРМУВАННЯ ЗАКОНОДАВСТВА ПРО ПАРЛАМЕНТСЬКІ ТА МІСЦЕВІ ВИБОРИ</w:t>
      </w:r>
    </w:p>
    <w:p w:rsidR="00180DB0" w:rsidRPr="00180DB0" w:rsidRDefault="00180DB0" w:rsidP="00180DB0">
      <w:pPr>
        <w:spacing w:before="240"/>
        <w:ind w:left="-567"/>
        <w:jc w:val="both"/>
        <w:rPr>
          <w:rFonts w:asciiTheme="majorHAnsi" w:hAnsiTheme="majorHAnsi"/>
          <w:sz w:val="22"/>
        </w:rPr>
      </w:pPr>
      <w:r w:rsidRPr="00180DB0">
        <w:rPr>
          <w:rFonts w:asciiTheme="majorHAnsi" w:hAnsiTheme="majorHAnsi"/>
          <w:sz w:val="22"/>
        </w:rPr>
        <w:t>Згідно з Конституцією України, 25 жовтня 2015 року на всій території України мають бути проведені чергові вибори депутатів місцевих рад та сільських, селищних, міських голів. Фракції-підписанти Коаліційної угоди взяли на себе зобов’язання завершити реформування законодавства про парламентські та місцеві вибори упродовж першого півріччя 2015 року. Таке реформування, серед іншого, передбачає кардинальну зміну виборчих систем на парламентських і місцевих виборах.</w:t>
      </w:r>
    </w:p>
    <w:p w:rsidR="00180DB0" w:rsidRPr="00180DB0" w:rsidRDefault="00180DB0" w:rsidP="00180DB0">
      <w:pPr>
        <w:spacing w:before="240"/>
        <w:ind w:left="-567"/>
        <w:jc w:val="both"/>
        <w:rPr>
          <w:rFonts w:asciiTheme="majorHAnsi" w:hAnsiTheme="majorHAnsi"/>
          <w:sz w:val="22"/>
        </w:rPr>
      </w:pPr>
      <w:r w:rsidRPr="00180DB0">
        <w:rPr>
          <w:rFonts w:asciiTheme="majorHAnsi" w:hAnsiTheme="majorHAnsi"/>
          <w:sz w:val="22"/>
        </w:rPr>
        <w:t xml:space="preserve">Хоча з моменту парафування Коаліційної угоди минуло більше 2-х місяців і до початку виборчого процесу чергових місцевих виборів залишається лише 7 місяців, жодних кроків у напрямку ініціювання парламентом реформи законодавства про вибори зроблено не було. </w:t>
      </w:r>
    </w:p>
    <w:p w:rsidR="00180DB0" w:rsidRPr="00180DB0" w:rsidRDefault="00180DB0" w:rsidP="00180DB0">
      <w:pPr>
        <w:spacing w:before="240"/>
        <w:ind w:left="-567"/>
        <w:jc w:val="both"/>
        <w:rPr>
          <w:rFonts w:asciiTheme="majorHAnsi" w:hAnsiTheme="majorHAnsi"/>
          <w:sz w:val="22"/>
        </w:rPr>
      </w:pPr>
      <w:r w:rsidRPr="00180DB0">
        <w:rPr>
          <w:rFonts w:asciiTheme="majorHAnsi" w:hAnsiTheme="majorHAnsi"/>
          <w:color w:val="000000"/>
          <w:sz w:val="22"/>
          <w:shd w:val="clear" w:color="auto" w:fill="FFFFFF"/>
        </w:rPr>
        <w:t>Громадські організації “Інтерньюз-Україна”, Комітет виборців України, Громадянська мережа ОПОРА, Український незалежний центр політичних досліджень та Інститут виборчого права</w:t>
      </w:r>
      <w:r w:rsidRPr="00180DB0">
        <w:rPr>
          <w:rFonts w:asciiTheme="majorHAnsi" w:hAnsiTheme="majorHAnsi"/>
          <w:sz w:val="22"/>
        </w:rPr>
        <w:t xml:space="preserve"> </w:t>
      </w:r>
      <w:r w:rsidRPr="00180DB0">
        <w:rPr>
          <w:rFonts w:asciiTheme="majorHAnsi" w:hAnsiTheme="majorHAnsi"/>
          <w:b/>
          <w:sz w:val="22"/>
          <w:u w:val="single"/>
        </w:rPr>
        <w:t>вважають</w:t>
      </w:r>
      <w:r w:rsidRPr="00180DB0">
        <w:rPr>
          <w:rFonts w:asciiTheme="majorHAnsi" w:hAnsiTheme="majorHAnsi"/>
          <w:sz w:val="22"/>
        </w:rPr>
        <w:t xml:space="preserve">, що підготовка змін до законодавства про загальнодержавні та місцеві вибори має здійснюватись </w:t>
      </w:r>
      <w:r w:rsidRPr="00180DB0">
        <w:rPr>
          <w:rFonts w:asciiTheme="majorHAnsi" w:hAnsiTheme="majorHAnsi"/>
          <w:b/>
          <w:sz w:val="22"/>
        </w:rPr>
        <w:t>єдиною Робочою групою</w:t>
      </w:r>
      <w:r w:rsidRPr="00180DB0">
        <w:rPr>
          <w:rFonts w:asciiTheme="majorHAnsi" w:hAnsiTheme="majorHAnsi"/>
          <w:sz w:val="22"/>
        </w:rPr>
        <w:t>, яку має бути утворена при Комітеті Верховної Ради України з питань правової політики та правосуддя. Саме на цей Комітет покладено законодавче забезпечення організації та порядку проведення виборів і референдумів. Робоча група має бути утворена не пізніше лютого 2015 року з тим, щоб підготовка нею нових редакцій законів про парламентські та місцеві вибори була завершена не пізніше квітня 2015 року, а їх прийняття відбулось у визначений Коаліційною угодою строк - тобто у першій половині 2015 року.</w:t>
      </w:r>
    </w:p>
    <w:p w:rsidR="00180DB0" w:rsidRPr="00180DB0" w:rsidRDefault="00180DB0" w:rsidP="00180DB0">
      <w:pPr>
        <w:spacing w:before="240" w:after="240"/>
        <w:ind w:left="-567"/>
        <w:jc w:val="both"/>
        <w:rPr>
          <w:rFonts w:asciiTheme="majorHAnsi" w:hAnsiTheme="majorHAnsi"/>
          <w:sz w:val="22"/>
        </w:rPr>
      </w:pPr>
      <w:r w:rsidRPr="00180DB0">
        <w:rPr>
          <w:rFonts w:asciiTheme="majorHAnsi" w:hAnsiTheme="majorHAnsi"/>
          <w:sz w:val="22"/>
        </w:rPr>
        <w:t xml:space="preserve">Громадські організації “Інтерньюз-Україна”, Комітет виборців України, Громадянська мережа ОПОРА, Український незалежний центр політичних досліджень </w:t>
      </w:r>
      <w:r w:rsidRPr="00180DB0">
        <w:rPr>
          <w:rFonts w:asciiTheme="majorHAnsi" w:hAnsiTheme="majorHAnsi"/>
          <w:color w:val="000000"/>
          <w:sz w:val="22"/>
          <w:shd w:val="clear" w:color="auto" w:fill="FFFFFF"/>
        </w:rPr>
        <w:t>та Інститут виборчого права</w:t>
      </w:r>
      <w:r w:rsidRPr="00180DB0">
        <w:rPr>
          <w:rFonts w:asciiTheme="majorHAnsi" w:hAnsiTheme="majorHAnsi"/>
          <w:sz w:val="22"/>
        </w:rPr>
        <w:t xml:space="preserve"> </w:t>
      </w:r>
      <w:r w:rsidRPr="00180DB0">
        <w:rPr>
          <w:rFonts w:asciiTheme="majorHAnsi" w:hAnsiTheme="majorHAnsi"/>
          <w:b/>
          <w:sz w:val="22"/>
          <w:u w:val="single"/>
        </w:rPr>
        <w:t>закликають</w:t>
      </w:r>
      <w:r w:rsidRPr="00180DB0">
        <w:rPr>
          <w:rFonts w:asciiTheme="majorHAnsi" w:hAnsiTheme="majorHAnsi"/>
          <w:sz w:val="22"/>
        </w:rPr>
        <w:t>:</w:t>
      </w:r>
    </w:p>
    <w:p w:rsidR="00180DB0" w:rsidRPr="00180DB0" w:rsidRDefault="00180DB0" w:rsidP="00180DB0">
      <w:pPr>
        <w:pStyle w:val="a3"/>
        <w:numPr>
          <w:ilvl w:val="0"/>
          <w:numId w:val="6"/>
        </w:numPr>
        <w:spacing w:before="240" w:after="240"/>
        <w:ind w:left="-142" w:hanging="425"/>
        <w:jc w:val="both"/>
        <w:rPr>
          <w:rFonts w:asciiTheme="majorHAnsi" w:hAnsiTheme="majorHAnsi"/>
          <w:sz w:val="22"/>
        </w:rPr>
      </w:pPr>
      <w:r w:rsidRPr="00180DB0">
        <w:rPr>
          <w:rFonts w:asciiTheme="majorHAnsi" w:hAnsiTheme="majorHAnsi"/>
          <w:i/>
          <w:sz w:val="22"/>
          <w:u w:val="single"/>
        </w:rPr>
        <w:t>Голову Верховної Ради України</w:t>
      </w:r>
      <w:r w:rsidRPr="00180DB0">
        <w:rPr>
          <w:rFonts w:asciiTheme="majorHAnsi" w:hAnsiTheme="majorHAnsi"/>
          <w:sz w:val="22"/>
        </w:rPr>
        <w:t xml:space="preserve"> – невідкладно (не пізніше середини лютого 2015 року) створити своїм розпорядженням при Комітеті з питань правової політики та правосуддя Робочу групу з питань реформування виборчого законодавства, яка здійснюватиме підготовку не лише нової редакції Закону “Про вибори народних депутатів України”, але і підготовку нової редакції Закону “Про вибори депутатів Верховної Ради Автономної Республіки Крим, місцевих рад та сільських, селищних, міських голів”. Така група має здійснювати свою діяльність на засадах відкритості та прозорості, а до участі у її роботі мають бути залучені представники всіх депутатських фракцій і груп, вітчизняні та зарубіжні експерти, громадські активісти, члени ЦВК та інші зацікавлені сторони.</w:t>
      </w:r>
    </w:p>
    <w:p w:rsidR="00180DB0" w:rsidRPr="00180DB0" w:rsidRDefault="00180DB0" w:rsidP="00180DB0">
      <w:pPr>
        <w:pStyle w:val="a3"/>
        <w:numPr>
          <w:ilvl w:val="0"/>
          <w:numId w:val="6"/>
        </w:numPr>
        <w:spacing w:before="240" w:after="240"/>
        <w:ind w:left="-142" w:hanging="425"/>
        <w:jc w:val="both"/>
        <w:rPr>
          <w:rFonts w:asciiTheme="majorHAnsi" w:hAnsiTheme="majorHAnsi"/>
          <w:sz w:val="22"/>
        </w:rPr>
      </w:pPr>
      <w:r w:rsidRPr="00180DB0">
        <w:rPr>
          <w:rFonts w:asciiTheme="majorHAnsi" w:hAnsiTheme="majorHAnsi"/>
          <w:i/>
          <w:sz w:val="22"/>
          <w:u w:val="single"/>
        </w:rPr>
        <w:t>Комітет Верховної Ради України з питань правової політики та правосуддя</w:t>
      </w:r>
      <w:r w:rsidRPr="00180DB0">
        <w:rPr>
          <w:rFonts w:asciiTheme="majorHAnsi" w:hAnsiTheme="majorHAnsi"/>
          <w:sz w:val="22"/>
        </w:rPr>
        <w:t xml:space="preserve"> - забезпечити діяльність створеної Робочої групи з питань реформування виборчого законодавства на засадах відкритості, прозорості та інклюзивності, а також підготовку нею проектів нових редакцій законів про парламентські та місцеві вибори до кінця квітня 2015 року.</w:t>
      </w:r>
      <w:bookmarkStart w:id="0" w:name="_GoBack"/>
      <w:bookmarkEnd w:id="0"/>
    </w:p>
    <w:p w:rsidR="00180DB0" w:rsidRPr="00180DB0" w:rsidRDefault="00180DB0" w:rsidP="00180DB0">
      <w:pPr>
        <w:ind w:left="-567"/>
        <w:jc w:val="both"/>
        <w:rPr>
          <w:rFonts w:asciiTheme="majorHAnsi" w:hAnsiTheme="majorHAnsi"/>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Інтерньюз-Україна</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ВГО “Комітет виборців України”</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Громадянська мережа ОПОРА</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Український незалежний центр політичних досліджень</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Інститут виборчого права</w:t>
      </w:r>
    </w:p>
    <w:p w:rsidR="00180DB0" w:rsidRPr="00180DB0" w:rsidRDefault="00180DB0" w:rsidP="00180DB0">
      <w:pPr>
        <w:ind w:left="-567"/>
        <w:jc w:val="both"/>
        <w:rPr>
          <w:rFonts w:asciiTheme="majorHAnsi" w:hAnsiTheme="majorHAnsi"/>
          <w:b/>
          <w:sz w:val="22"/>
        </w:rPr>
      </w:pPr>
    </w:p>
    <w:p w:rsidR="00180DB0" w:rsidRPr="00180DB0" w:rsidRDefault="00180DB0" w:rsidP="00180DB0">
      <w:pPr>
        <w:ind w:left="-567"/>
        <w:jc w:val="both"/>
        <w:rPr>
          <w:rFonts w:asciiTheme="majorHAnsi" w:hAnsiTheme="majorHAnsi"/>
          <w:b/>
          <w:sz w:val="22"/>
        </w:rPr>
      </w:pPr>
      <w:r w:rsidRPr="00180DB0">
        <w:rPr>
          <w:rFonts w:asciiTheme="majorHAnsi" w:hAnsiTheme="majorHAnsi"/>
          <w:b/>
          <w:sz w:val="22"/>
        </w:rPr>
        <w:t>2/02/2015</w:t>
      </w:r>
    </w:p>
    <w:sectPr w:rsidR="00180DB0" w:rsidRPr="00180DB0" w:rsidSect="00180DB0">
      <w:footerReference w:type="even" r:id="rId13"/>
      <w:footerReference w:type="default" r:id="rId14"/>
      <w:pgSz w:w="11900" w:h="16840"/>
      <w:pgMar w:top="28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D0" w:rsidRDefault="00BA31D0" w:rsidP="00D97767">
      <w:r>
        <w:separator/>
      </w:r>
    </w:p>
  </w:endnote>
  <w:endnote w:type="continuationSeparator" w:id="0">
    <w:p w:rsidR="00BA31D0" w:rsidRDefault="00BA31D0" w:rsidP="00D9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CF" w:rsidRDefault="0021575F" w:rsidP="000D021A">
    <w:pPr>
      <w:pStyle w:val="a6"/>
      <w:framePr w:wrap="around" w:vAnchor="text" w:hAnchor="margin" w:xAlign="outside" w:y="1"/>
      <w:rPr>
        <w:rStyle w:val="ad"/>
      </w:rPr>
    </w:pPr>
    <w:r>
      <w:rPr>
        <w:rStyle w:val="ad"/>
      </w:rPr>
      <w:fldChar w:fldCharType="begin"/>
    </w:r>
    <w:r w:rsidR="00F201CF">
      <w:rPr>
        <w:rStyle w:val="ad"/>
      </w:rPr>
      <w:instrText xml:space="preserve">PAGE  </w:instrText>
    </w:r>
    <w:r>
      <w:rPr>
        <w:rStyle w:val="ad"/>
      </w:rPr>
      <w:fldChar w:fldCharType="separate"/>
    </w:r>
    <w:r w:rsidR="00180DB0">
      <w:rPr>
        <w:rStyle w:val="ad"/>
        <w:noProof/>
      </w:rPr>
      <w:t>2</w:t>
    </w:r>
    <w:r>
      <w:rPr>
        <w:rStyle w:val="ad"/>
      </w:rPr>
      <w:fldChar w:fldCharType="end"/>
    </w:r>
  </w:p>
  <w:tbl>
    <w:tblPr>
      <w:tblpPr w:leftFromText="187" w:rightFromText="187" w:bottomFromText="200" w:vertAnchor="text" w:tblpY="1"/>
      <w:tblW w:w="5000" w:type="pct"/>
      <w:tblLook w:val="04A0"/>
    </w:tblPr>
    <w:tblGrid>
      <w:gridCol w:w="3749"/>
      <w:gridCol w:w="2066"/>
      <w:gridCol w:w="3750"/>
    </w:tblGrid>
    <w:tr w:rsidR="00F201CF" w:rsidTr="001A2916">
      <w:trPr>
        <w:trHeight w:val="151"/>
      </w:trPr>
      <w:tc>
        <w:tcPr>
          <w:tcW w:w="2250" w:type="pct"/>
          <w:tcBorders>
            <w:top w:val="nil"/>
            <w:left w:val="nil"/>
            <w:bottom w:val="single" w:sz="4" w:space="0" w:color="4F81BD" w:themeColor="accent1"/>
            <w:right w:val="nil"/>
          </w:tcBorders>
        </w:tcPr>
        <w:p w:rsidR="00F201CF" w:rsidRDefault="00F201CF" w:rsidP="009F1103">
          <w:pPr>
            <w:pStyle w:val="a4"/>
            <w:spacing w:line="276" w:lineRule="auto"/>
            <w:ind w:right="360" w:firstLine="360"/>
            <w:rPr>
              <w:rFonts w:asciiTheme="majorHAnsi" w:eastAsiaTheme="majorEastAsia" w:hAnsiTheme="majorHAnsi" w:cstheme="majorBidi"/>
              <w:b/>
              <w:bCs/>
              <w:color w:val="4F81BD" w:themeColor="accent1"/>
            </w:rPr>
          </w:pPr>
        </w:p>
      </w:tc>
      <w:tc>
        <w:tcPr>
          <w:tcW w:w="500" w:type="pct"/>
          <w:vMerge w:val="restart"/>
          <w:noWrap/>
          <w:vAlign w:val="center"/>
          <w:hideMark/>
        </w:tcPr>
        <w:p w:rsidR="00F201CF" w:rsidRDefault="00F201CF">
          <w:pPr>
            <w:pStyle w:val="ab"/>
            <w:spacing w:line="276" w:lineRule="auto"/>
            <w:rPr>
              <w:rFonts w:asciiTheme="majorHAnsi" w:hAnsiTheme="majorHAnsi"/>
              <w:color w:val="365F91" w:themeColor="accent1" w:themeShade="BF"/>
            </w:rPr>
          </w:pPr>
          <w:r>
            <w:rPr>
              <w:rFonts w:asciiTheme="majorHAnsi" w:hAnsiTheme="majorHAnsi"/>
              <w:b/>
              <w:noProof/>
              <w:lang w:val="en-US"/>
            </w:rPr>
            <w:t xml:space="preserve"> </w:t>
          </w:r>
          <w:r>
            <w:rPr>
              <w:rFonts w:asciiTheme="majorHAnsi" w:hAnsiTheme="majorHAnsi"/>
              <w:b/>
              <w:noProof/>
            </w:rPr>
            <w:drawing>
              <wp:inline distT="0" distB="0" distL="0" distR="0">
                <wp:extent cx="1130935" cy="593317"/>
                <wp:effectExtent l="0" t="0" r="1206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1655" cy="593695"/>
                        </a:xfrm>
                        <a:prstGeom prst="rect">
                          <a:avLst/>
                        </a:prstGeom>
                        <a:noFill/>
                        <a:ln>
                          <a:noFill/>
                        </a:ln>
                      </pic:spPr>
                    </pic:pic>
                  </a:graphicData>
                </a:graphic>
              </wp:inline>
            </w:drawing>
          </w:r>
        </w:p>
      </w:tc>
      <w:tc>
        <w:tcPr>
          <w:tcW w:w="2250" w:type="pct"/>
          <w:tcBorders>
            <w:top w:val="nil"/>
            <w:left w:val="nil"/>
            <w:bottom w:val="single" w:sz="4" w:space="0" w:color="4F81BD" w:themeColor="accent1"/>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r>
    <w:tr w:rsidR="00F201CF" w:rsidTr="001A2916">
      <w:trPr>
        <w:trHeight w:val="150"/>
      </w:trPr>
      <w:tc>
        <w:tcPr>
          <w:tcW w:w="2250" w:type="pct"/>
          <w:tcBorders>
            <w:top w:val="single" w:sz="4" w:space="0" w:color="4F81BD" w:themeColor="accent1"/>
            <w:left w:val="nil"/>
            <w:bottom w:val="nil"/>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201CF" w:rsidRDefault="00F201C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r>
  </w:tbl>
  <w:p w:rsidR="00F201CF" w:rsidRDefault="00F201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CF" w:rsidRDefault="0021575F" w:rsidP="000D021A">
    <w:pPr>
      <w:pStyle w:val="a6"/>
      <w:framePr w:wrap="around" w:vAnchor="text" w:hAnchor="margin" w:xAlign="outside" w:y="1"/>
      <w:rPr>
        <w:rStyle w:val="ad"/>
      </w:rPr>
    </w:pPr>
    <w:r>
      <w:rPr>
        <w:rStyle w:val="ad"/>
      </w:rPr>
      <w:fldChar w:fldCharType="begin"/>
    </w:r>
    <w:r w:rsidR="00F201CF">
      <w:rPr>
        <w:rStyle w:val="ad"/>
      </w:rPr>
      <w:instrText xml:space="preserve">PAGE  </w:instrText>
    </w:r>
    <w:r>
      <w:rPr>
        <w:rStyle w:val="ad"/>
      </w:rPr>
      <w:fldChar w:fldCharType="separate"/>
    </w:r>
    <w:r w:rsidR="00F201CF">
      <w:rPr>
        <w:rStyle w:val="ad"/>
        <w:noProof/>
      </w:rPr>
      <w:t>1</w:t>
    </w:r>
    <w:r>
      <w:rPr>
        <w:rStyle w:val="ad"/>
      </w:rPr>
      <w:fldChar w:fldCharType="end"/>
    </w:r>
  </w:p>
  <w:tbl>
    <w:tblPr>
      <w:tblpPr w:leftFromText="187" w:rightFromText="187" w:bottomFromText="200" w:vertAnchor="text" w:tblpY="1"/>
      <w:tblW w:w="5000" w:type="pct"/>
      <w:tblLook w:val="04A0"/>
    </w:tblPr>
    <w:tblGrid>
      <w:gridCol w:w="3749"/>
      <w:gridCol w:w="2066"/>
      <w:gridCol w:w="3750"/>
    </w:tblGrid>
    <w:tr w:rsidR="00F201CF" w:rsidTr="001A2916">
      <w:trPr>
        <w:trHeight w:val="151"/>
      </w:trPr>
      <w:tc>
        <w:tcPr>
          <w:tcW w:w="2250" w:type="pct"/>
          <w:tcBorders>
            <w:top w:val="nil"/>
            <w:left w:val="nil"/>
            <w:bottom w:val="single" w:sz="4" w:space="0" w:color="4F81BD" w:themeColor="accent1"/>
            <w:right w:val="nil"/>
          </w:tcBorders>
        </w:tcPr>
        <w:p w:rsidR="00F201CF" w:rsidRDefault="00F201CF" w:rsidP="009F1103">
          <w:pPr>
            <w:pStyle w:val="a4"/>
            <w:spacing w:line="276" w:lineRule="auto"/>
            <w:ind w:right="360" w:firstLine="360"/>
            <w:rPr>
              <w:rFonts w:asciiTheme="majorHAnsi" w:eastAsiaTheme="majorEastAsia" w:hAnsiTheme="majorHAnsi" w:cstheme="majorBidi"/>
              <w:b/>
              <w:bCs/>
              <w:color w:val="4F81BD" w:themeColor="accent1"/>
            </w:rPr>
          </w:pPr>
        </w:p>
      </w:tc>
      <w:tc>
        <w:tcPr>
          <w:tcW w:w="500" w:type="pct"/>
          <w:vMerge w:val="restart"/>
          <w:noWrap/>
          <w:vAlign w:val="center"/>
          <w:hideMark/>
        </w:tcPr>
        <w:p w:rsidR="00F201CF" w:rsidRDefault="00F201CF">
          <w:pPr>
            <w:pStyle w:val="ab"/>
            <w:spacing w:line="276" w:lineRule="auto"/>
            <w:rPr>
              <w:rFonts w:asciiTheme="majorHAnsi" w:hAnsiTheme="majorHAnsi"/>
              <w:color w:val="365F91" w:themeColor="accent1" w:themeShade="BF"/>
            </w:rPr>
          </w:pPr>
          <w:r>
            <w:rPr>
              <w:rFonts w:asciiTheme="majorHAnsi" w:hAnsiTheme="majorHAnsi"/>
              <w:b/>
              <w:noProof/>
              <w:lang w:val="en-US"/>
            </w:rPr>
            <w:t xml:space="preserve"> </w:t>
          </w:r>
          <w:r>
            <w:rPr>
              <w:rFonts w:asciiTheme="majorHAnsi" w:hAnsiTheme="majorHAnsi"/>
              <w:b/>
              <w:noProof/>
            </w:rPr>
            <w:drawing>
              <wp:inline distT="0" distB="0" distL="0" distR="0">
                <wp:extent cx="1130935" cy="593317"/>
                <wp:effectExtent l="0" t="0" r="1206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1655" cy="593695"/>
                        </a:xfrm>
                        <a:prstGeom prst="rect">
                          <a:avLst/>
                        </a:prstGeom>
                        <a:noFill/>
                        <a:ln>
                          <a:noFill/>
                        </a:ln>
                      </pic:spPr>
                    </pic:pic>
                  </a:graphicData>
                </a:graphic>
              </wp:inline>
            </w:drawing>
          </w:r>
        </w:p>
      </w:tc>
      <w:tc>
        <w:tcPr>
          <w:tcW w:w="2250" w:type="pct"/>
          <w:tcBorders>
            <w:top w:val="nil"/>
            <w:left w:val="nil"/>
            <w:bottom w:val="single" w:sz="4" w:space="0" w:color="4F81BD" w:themeColor="accent1"/>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r>
    <w:tr w:rsidR="00F201CF" w:rsidTr="001A2916">
      <w:trPr>
        <w:trHeight w:val="150"/>
      </w:trPr>
      <w:tc>
        <w:tcPr>
          <w:tcW w:w="2250" w:type="pct"/>
          <w:tcBorders>
            <w:top w:val="single" w:sz="4" w:space="0" w:color="4F81BD" w:themeColor="accent1"/>
            <w:left w:val="nil"/>
            <w:bottom w:val="nil"/>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201CF" w:rsidRDefault="00F201C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F201CF" w:rsidRDefault="00F201CF">
          <w:pPr>
            <w:pStyle w:val="a4"/>
            <w:spacing w:line="276" w:lineRule="auto"/>
            <w:rPr>
              <w:rFonts w:asciiTheme="majorHAnsi" w:eastAsiaTheme="majorEastAsia" w:hAnsiTheme="majorHAnsi" w:cstheme="majorBidi"/>
              <w:b/>
              <w:bCs/>
              <w:color w:val="4F81BD" w:themeColor="accent1"/>
            </w:rPr>
          </w:pPr>
        </w:p>
      </w:tc>
    </w:tr>
  </w:tbl>
  <w:p w:rsidR="00F201CF" w:rsidRPr="001A2916" w:rsidRDefault="00F201CF">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D0" w:rsidRDefault="00BA31D0" w:rsidP="00D97767">
      <w:r>
        <w:separator/>
      </w:r>
    </w:p>
  </w:footnote>
  <w:footnote w:type="continuationSeparator" w:id="0">
    <w:p w:rsidR="00BA31D0" w:rsidRDefault="00BA31D0" w:rsidP="00D97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635B66"/>
    <w:multiLevelType w:val="hybridMultilevel"/>
    <w:tmpl w:val="10AC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B15E6"/>
    <w:multiLevelType w:val="hybridMultilevel"/>
    <w:tmpl w:val="A4DADF3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3B0F6DA1"/>
    <w:multiLevelType w:val="hybridMultilevel"/>
    <w:tmpl w:val="F6A0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87593"/>
    <w:multiLevelType w:val="multilevel"/>
    <w:tmpl w:val="CC7C4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93E59"/>
    <w:multiLevelType w:val="hybridMultilevel"/>
    <w:tmpl w:val="2F5E8D8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6D3F5DFB"/>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85B49"/>
    <w:multiLevelType w:val="hybridMultilevel"/>
    <w:tmpl w:val="7F487AD8"/>
    <w:lvl w:ilvl="0" w:tplc="1A16415A">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5122"/>
  </w:hdrShapeDefaults>
  <w:footnotePr>
    <w:footnote w:id="-1"/>
    <w:footnote w:id="0"/>
  </w:footnotePr>
  <w:endnotePr>
    <w:endnote w:id="-1"/>
    <w:endnote w:id="0"/>
  </w:endnotePr>
  <w:compat>
    <w:useFELayout/>
  </w:compat>
  <w:rsids>
    <w:rsidRoot w:val="006103A5"/>
    <w:rsid w:val="00001732"/>
    <w:rsid w:val="00017792"/>
    <w:rsid w:val="000212D4"/>
    <w:rsid w:val="00026E87"/>
    <w:rsid w:val="000774D1"/>
    <w:rsid w:val="0009291B"/>
    <w:rsid w:val="000A1E37"/>
    <w:rsid w:val="000C0C73"/>
    <w:rsid w:val="000C2896"/>
    <w:rsid w:val="000D021A"/>
    <w:rsid w:val="000E1AEB"/>
    <w:rsid w:val="000E36AB"/>
    <w:rsid w:val="000F3635"/>
    <w:rsid w:val="001118D6"/>
    <w:rsid w:val="00132A01"/>
    <w:rsid w:val="00140280"/>
    <w:rsid w:val="00150186"/>
    <w:rsid w:val="00157A56"/>
    <w:rsid w:val="00180DB0"/>
    <w:rsid w:val="00183BC1"/>
    <w:rsid w:val="001A2916"/>
    <w:rsid w:val="001C7E94"/>
    <w:rsid w:val="001E6350"/>
    <w:rsid w:val="00204F52"/>
    <w:rsid w:val="0021575F"/>
    <w:rsid w:val="00246E17"/>
    <w:rsid w:val="00282BF0"/>
    <w:rsid w:val="002F7CC6"/>
    <w:rsid w:val="00315062"/>
    <w:rsid w:val="003250E4"/>
    <w:rsid w:val="00347299"/>
    <w:rsid w:val="00390F8D"/>
    <w:rsid w:val="00394572"/>
    <w:rsid w:val="004465D7"/>
    <w:rsid w:val="00495249"/>
    <w:rsid w:val="004A3EB3"/>
    <w:rsid w:val="004D6BCC"/>
    <w:rsid w:val="004E08DD"/>
    <w:rsid w:val="004E1934"/>
    <w:rsid w:val="004E211C"/>
    <w:rsid w:val="004E3AD9"/>
    <w:rsid w:val="00502DDC"/>
    <w:rsid w:val="005237AB"/>
    <w:rsid w:val="005368F3"/>
    <w:rsid w:val="00540DF0"/>
    <w:rsid w:val="0059422F"/>
    <w:rsid w:val="005C0D7B"/>
    <w:rsid w:val="005D3E5B"/>
    <w:rsid w:val="005F7FD8"/>
    <w:rsid w:val="00604EE8"/>
    <w:rsid w:val="006103A5"/>
    <w:rsid w:val="0062379C"/>
    <w:rsid w:val="0065237C"/>
    <w:rsid w:val="006537B2"/>
    <w:rsid w:val="00665296"/>
    <w:rsid w:val="006A4EFF"/>
    <w:rsid w:val="00746DFF"/>
    <w:rsid w:val="007516AF"/>
    <w:rsid w:val="00762DB1"/>
    <w:rsid w:val="00777FB3"/>
    <w:rsid w:val="00797674"/>
    <w:rsid w:val="007D5A84"/>
    <w:rsid w:val="007D6E61"/>
    <w:rsid w:val="007F11A0"/>
    <w:rsid w:val="00811C17"/>
    <w:rsid w:val="008457A7"/>
    <w:rsid w:val="008B0AE3"/>
    <w:rsid w:val="008F4FC8"/>
    <w:rsid w:val="00907605"/>
    <w:rsid w:val="00915261"/>
    <w:rsid w:val="00945007"/>
    <w:rsid w:val="009641D4"/>
    <w:rsid w:val="009964A0"/>
    <w:rsid w:val="009C0413"/>
    <w:rsid w:val="009F1103"/>
    <w:rsid w:val="009F4895"/>
    <w:rsid w:val="00A0695D"/>
    <w:rsid w:val="00A13736"/>
    <w:rsid w:val="00A702A2"/>
    <w:rsid w:val="00A76FCC"/>
    <w:rsid w:val="00A77A00"/>
    <w:rsid w:val="00AD0A18"/>
    <w:rsid w:val="00AF6BD0"/>
    <w:rsid w:val="00B1605C"/>
    <w:rsid w:val="00B33DE8"/>
    <w:rsid w:val="00B77DE4"/>
    <w:rsid w:val="00BA31D0"/>
    <w:rsid w:val="00BB6F3D"/>
    <w:rsid w:val="00C91768"/>
    <w:rsid w:val="00CA4F4E"/>
    <w:rsid w:val="00CB69E0"/>
    <w:rsid w:val="00CD536D"/>
    <w:rsid w:val="00D97767"/>
    <w:rsid w:val="00DC4A01"/>
    <w:rsid w:val="00DC5D91"/>
    <w:rsid w:val="00E13B98"/>
    <w:rsid w:val="00E54A4D"/>
    <w:rsid w:val="00E739D8"/>
    <w:rsid w:val="00E869CD"/>
    <w:rsid w:val="00E909DA"/>
    <w:rsid w:val="00EC40D0"/>
    <w:rsid w:val="00F03030"/>
    <w:rsid w:val="00F201CF"/>
    <w:rsid w:val="00F22AAE"/>
    <w:rsid w:val="00F76FC6"/>
    <w:rsid w:val="00F771AF"/>
    <w:rsid w:val="00F872A1"/>
    <w:rsid w:val="00FA2C5C"/>
    <w:rsid w:val="00FF6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5F"/>
    <w:rPr>
      <w:rFonts w:ascii="Times New Roman" w:hAnsi="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3A5"/>
    <w:pPr>
      <w:ind w:left="720"/>
      <w:contextualSpacing/>
    </w:pPr>
  </w:style>
  <w:style w:type="paragraph" w:styleId="a4">
    <w:name w:val="header"/>
    <w:basedOn w:val="a"/>
    <w:link w:val="a5"/>
    <w:uiPriority w:val="99"/>
    <w:unhideWhenUsed/>
    <w:rsid w:val="00D97767"/>
    <w:pPr>
      <w:tabs>
        <w:tab w:val="center" w:pos="4677"/>
        <w:tab w:val="right" w:pos="9355"/>
      </w:tabs>
    </w:pPr>
  </w:style>
  <w:style w:type="character" w:customStyle="1" w:styleId="a5">
    <w:name w:val="Верхний колонтитул Знак"/>
    <w:basedOn w:val="a0"/>
    <w:link w:val="a4"/>
    <w:uiPriority w:val="99"/>
    <w:rsid w:val="00D97767"/>
    <w:rPr>
      <w:rFonts w:ascii="Times New Roman" w:hAnsi="Times New Roman"/>
      <w:sz w:val="20"/>
      <w:szCs w:val="20"/>
      <w:lang w:val="uk-UA"/>
    </w:rPr>
  </w:style>
  <w:style w:type="paragraph" w:styleId="a6">
    <w:name w:val="footer"/>
    <w:basedOn w:val="a"/>
    <w:link w:val="a7"/>
    <w:uiPriority w:val="99"/>
    <w:unhideWhenUsed/>
    <w:rsid w:val="00D97767"/>
    <w:pPr>
      <w:tabs>
        <w:tab w:val="center" w:pos="4677"/>
        <w:tab w:val="right" w:pos="9355"/>
      </w:tabs>
    </w:pPr>
  </w:style>
  <w:style w:type="character" w:customStyle="1" w:styleId="a7">
    <w:name w:val="Нижний колонтитул Знак"/>
    <w:basedOn w:val="a0"/>
    <w:link w:val="a6"/>
    <w:uiPriority w:val="99"/>
    <w:rsid w:val="00D97767"/>
    <w:rPr>
      <w:rFonts w:ascii="Times New Roman" w:hAnsi="Times New Roman"/>
      <w:sz w:val="20"/>
      <w:szCs w:val="20"/>
      <w:lang w:val="uk-UA"/>
    </w:rPr>
  </w:style>
  <w:style w:type="paragraph" w:styleId="a8">
    <w:name w:val="Balloon Text"/>
    <w:basedOn w:val="a"/>
    <w:link w:val="a9"/>
    <w:uiPriority w:val="99"/>
    <w:semiHidden/>
    <w:unhideWhenUsed/>
    <w:rsid w:val="00D97767"/>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D97767"/>
    <w:rPr>
      <w:rFonts w:ascii="Lucida Grande CY" w:hAnsi="Lucida Grande CY" w:cs="Lucida Grande CY"/>
      <w:sz w:val="18"/>
      <w:szCs w:val="18"/>
      <w:lang w:val="uk-UA"/>
    </w:rPr>
  </w:style>
  <w:style w:type="table" w:styleId="aa">
    <w:name w:val="Table Grid"/>
    <w:basedOn w:val="a1"/>
    <w:uiPriority w:val="59"/>
    <w:rsid w:val="00A7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1A2916"/>
    <w:rPr>
      <w:rFonts w:ascii="PMingLiU" w:eastAsiaTheme="minorEastAsia" w:hAnsi="PMingLiU" w:cstheme="minorBidi"/>
      <w:sz w:val="22"/>
      <w:szCs w:val="22"/>
    </w:rPr>
  </w:style>
  <w:style w:type="character" w:customStyle="1" w:styleId="ac">
    <w:name w:val="Без интервала Знак"/>
    <w:basedOn w:val="a0"/>
    <w:link w:val="ab"/>
    <w:rsid w:val="001A2916"/>
    <w:rPr>
      <w:rFonts w:ascii="PMingLiU" w:eastAsiaTheme="minorEastAsia" w:hAnsi="PMingLiU" w:cstheme="minorBidi"/>
      <w:sz w:val="22"/>
      <w:szCs w:val="22"/>
    </w:rPr>
  </w:style>
  <w:style w:type="character" w:styleId="ad">
    <w:name w:val="page number"/>
    <w:basedOn w:val="a0"/>
    <w:uiPriority w:val="99"/>
    <w:semiHidden/>
    <w:unhideWhenUsed/>
    <w:rsid w:val="009F1103"/>
  </w:style>
  <w:style w:type="paragraph" w:styleId="ae">
    <w:name w:val="Normal (Web)"/>
    <w:basedOn w:val="a"/>
    <w:uiPriority w:val="99"/>
    <w:semiHidden/>
    <w:unhideWhenUsed/>
    <w:rsid w:val="004E211C"/>
    <w:pPr>
      <w:spacing w:before="100" w:beforeAutospacing="1" w:after="100" w:afterAutospacing="1"/>
    </w:pPr>
    <w:rPr>
      <w:rFonts w:ascii="Times" w:hAnsi="Times"/>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3A5"/>
    <w:pPr>
      <w:ind w:left="720"/>
      <w:contextualSpacing/>
    </w:pPr>
  </w:style>
  <w:style w:type="paragraph" w:styleId="a4">
    <w:name w:val="header"/>
    <w:basedOn w:val="a"/>
    <w:link w:val="a5"/>
    <w:uiPriority w:val="99"/>
    <w:unhideWhenUsed/>
    <w:rsid w:val="00D97767"/>
    <w:pPr>
      <w:tabs>
        <w:tab w:val="center" w:pos="4677"/>
        <w:tab w:val="right" w:pos="9355"/>
      </w:tabs>
    </w:pPr>
  </w:style>
  <w:style w:type="character" w:customStyle="1" w:styleId="a5">
    <w:name w:val="Верхний колонтитул Знак"/>
    <w:basedOn w:val="a0"/>
    <w:link w:val="a4"/>
    <w:uiPriority w:val="99"/>
    <w:rsid w:val="00D97767"/>
    <w:rPr>
      <w:rFonts w:ascii="Times New Roman" w:hAnsi="Times New Roman"/>
      <w:sz w:val="20"/>
      <w:szCs w:val="20"/>
      <w:lang w:val="uk-UA"/>
    </w:rPr>
  </w:style>
  <w:style w:type="paragraph" w:styleId="a6">
    <w:name w:val="footer"/>
    <w:basedOn w:val="a"/>
    <w:link w:val="a7"/>
    <w:uiPriority w:val="99"/>
    <w:unhideWhenUsed/>
    <w:rsid w:val="00D97767"/>
    <w:pPr>
      <w:tabs>
        <w:tab w:val="center" w:pos="4677"/>
        <w:tab w:val="right" w:pos="9355"/>
      </w:tabs>
    </w:pPr>
  </w:style>
  <w:style w:type="character" w:customStyle="1" w:styleId="a7">
    <w:name w:val="Нижний колонтитул Знак"/>
    <w:basedOn w:val="a0"/>
    <w:link w:val="a6"/>
    <w:uiPriority w:val="99"/>
    <w:rsid w:val="00D97767"/>
    <w:rPr>
      <w:rFonts w:ascii="Times New Roman" w:hAnsi="Times New Roman"/>
      <w:sz w:val="20"/>
      <w:szCs w:val="20"/>
      <w:lang w:val="uk-UA"/>
    </w:rPr>
  </w:style>
  <w:style w:type="paragraph" w:styleId="a8">
    <w:name w:val="Balloon Text"/>
    <w:basedOn w:val="a"/>
    <w:link w:val="a9"/>
    <w:uiPriority w:val="99"/>
    <w:semiHidden/>
    <w:unhideWhenUsed/>
    <w:rsid w:val="00D97767"/>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D97767"/>
    <w:rPr>
      <w:rFonts w:ascii="Lucida Grande CY" w:hAnsi="Lucida Grande CY" w:cs="Lucida Grande CY"/>
      <w:sz w:val="18"/>
      <w:szCs w:val="18"/>
      <w:lang w:val="uk-UA"/>
    </w:rPr>
  </w:style>
  <w:style w:type="table" w:styleId="aa">
    <w:name w:val="Table Grid"/>
    <w:basedOn w:val="a1"/>
    <w:uiPriority w:val="59"/>
    <w:rsid w:val="00A7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1A2916"/>
    <w:rPr>
      <w:rFonts w:ascii="PMingLiU" w:eastAsiaTheme="minorEastAsia" w:hAnsi="PMingLiU" w:cstheme="minorBidi"/>
      <w:sz w:val="22"/>
      <w:szCs w:val="22"/>
    </w:rPr>
  </w:style>
  <w:style w:type="character" w:customStyle="1" w:styleId="ac">
    <w:name w:val="Без интервала Знак"/>
    <w:basedOn w:val="a0"/>
    <w:link w:val="ab"/>
    <w:rsid w:val="001A2916"/>
    <w:rPr>
      <w:rFonts w:ascii="PMingLiU" w:eastAsiaTheme="minorEastAsia" w:hAnsi="PMingLiU" w:cstheme="minorBidi"/>
      <w:sz w:val="22"/>
      <w:szCs w:val="22"/>
    </w:rPr>
  </w:style>
  <w:style w:type="character" w:styleId="ad">
    <w:name w:val="page number"/>
    <w:basedOn w:val="a0"/>
    <w:uiPriority w:val="99"/>
    <w:semiHidden/>
    <w:unhideWhenUsed/>
    <w:rsid w:val="009F1103"/>
  </w:style>
  <w:style w:type="paragraph" w:styleId="ae">
    <w:name w:val="Normal (Web)"/>
    <w:basedOn w:val="a"/>
    <w:uiPriority w:val="99"/>
    <w:semiHidden/>
    <w:unhideWhenUsed/>
    <w:rsid w:val="004E211C"/>
    <w:pPr>
      <w:spacing w:before="100" w:beforeAutospacing="1" w:after="100" w:afterAutospacing="1"/>
    </w:pPr>
    <w:rPr>
      <w:rFonts w:ascii="Times" w:hAnsi="Times"/>
      <w:lang w:val="ru-RU"/>
    </w:rPr>
  </w:style>
</w:styles>
</file>

<file path=word/webSettings.xml><?xml version="1.0" encoding="utf-8"?>
<w:webSettings xmlns:r="http://schemas.openxmlformats.org/officeDocument/2006/relationships" xmlns:w="http://schemas.openxmlformats.org/wordprocessingml/2006/main">
  <w:divs>
    <w:div w:id="48185944">
      <w:bodyDiv w:val="1"/>
      <w:marLeft w:val="0"/>
      <w:marRight w:val="0"/>
      <w:marTop w:val="0"/>
      <w:marBottom w:val="0"/>
      <w:divBdr>
        <w:top w:val="none" w:sz="0" w:space="0" w:color="auto"/>
        <w:left w:val="none" w:sz="0" w:space="0" w:color="auto"/>
        <w:bottom w:val="none" w:sz="0" w:space="0" w:color="auto"/>
        <w:right w:val="none" w:sz="0" w:space="0" w:color="auto"/>
      </w:divBdr>
      <w:divsChild>
        <w:div w:id="938222574">
          <w:marLeft w:val="0"/>
          <w:marRight w:val="0"/>
          <w:marTop w:val="0"/>
          <w:marBottom w:val="0"/>
          <w:divBdr>
            <w:top w:val="none" w:sz="0" w:space="0" w:color="auto"/>
            <w:left w:val="none" w:sz="0" w:space="0" w:color="auto"/>
            <w:bottom w:val="none" w:sz="0" w:space="0" w:color="auto"/>
            <w:right w:val="none" w:sz="0" w:space="0" w:color="auto"/>
          </w:divBdr>
          <w:divsChild>
            <w:div w:id="1707411948">
              <w:marLeft w:val="0"/>
              <w:marRight w:val="0"/>
              <w:marTop w:val="0"/>
              <w:marBottom w:val="0"/>
              <w:divBdr>
                <w:top w:val="none" w:sz="0" w:space="0" w:color="auto"/>
                <w:left w:val="none" w:sz="0" w:space="0" w:color="auto"/>
                <w:bottom w:val="none" w:sz="0" w:space="0" w:color="auto"/>
                <w:right w:val="none" w:sz="0" w:space="0" w:color="auto"/>
              </w:divBdr>
              <w:divsChild>
                <w:div w:id="7305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711">
      <w:bodyDiv w:val="1"/>
      <w:marLeft w:val="0"/>
      <w:marRight w:val="0"/>
      <w:marTop w:val="0"/>
      <w:marBottom w:val="0"/>
      <w:divBdr>
        <w:top w:val="none" w:sz="0" w:space="0" w:color="auto"/>
        <w:left w:val="none" w:sz="0" w:space="0" w:color="auto"/>
        <w:bottom w:val="none" w:sz="0" w:space="0" w:color="auto"/>
        <w:right w:val="none" w:sz="0" w:space="0" w:color="auto"/>
      </w:divBdr>
    </w:div>
    <w:div w:id="1096248425">
      <w:bodyDiv w:val="1"/>
      <w:marLeft w:val="0"/>
      <w:marRight w:val="0"/>
      <w:marTop w:val="0"/>
      <w:marBottom w:val="0"/>
      <w:divBdr>
        <w:top w:val="none" w:sz="0" w:space="0" w:color="auto"/>
        <w:left w:val="none" w:sz="0" w:space="0" w:color="auto"/>
        <w:bottom w:val="none" w:sz="0" w:space="0" w:color="auto"/>
        <w:right w:val="none" w:sz="0" w:space="0" w:color="auto"/>
      </w:divBdr>
      <w:divsChild>
        <w:div w:id="735322566">
          <w:marLeft w:val="0"/>
          <w:marRight w:val="0"/>
          <w:marTop w:val="0"/>
          <w:marBottom w:val="90"/>
          <w:divBdr>
            <w:top w:val="none" w:sz="0" w:space="0" w:color="auto"/>
            <w:left w:val="none" w:sz="0" w:space="0" w:color="auto"/>
            <w:bottom w:val="none" w:sz="0" w:space="0" w:color="auto"/>
            <w:right w:val="none" w:sz="0" w:space="0" w:color="auto"/>
          </w:divBdr>
          <w:divsChild>
            <w:div w:id="1774323987">
              <w:marLeft w:val="0"/>
              <w:marRight w:val="0"/>
              <w:marTop w:val="0"/>
              <w:marBottom w:val="0"/>
              <w:divBdr>
                <w:top w:val="none" w:sz="0" w:space="0" w:color="auto"/>
                <w:left w:val="none" w:sz="0" w:space="0" w:color="auto"/>
                <w:bottom w:val="none" w:sz="0" w:space="0" w:color="auto"/>
                <w:right w:val="none" w:sz="0" w:space="0" w:color="auto"/>
              </w:divBdr>
            </w:div>
          </w:divsChild>
        </w:div>
        <w:div w:id="1341934282">
          <w:marLeft w:val="0"/>
          <w:marRight w:val="0"/>
          <w:marTop w:val="0"/>
          <w:marBottom w:val="90"/>
          <w:divBdr>
            <w:top w:val="none" w:sz="0" w:space="0" w:color="auto"/>
            <w:left w:val="none" w:sz="0" w:space="0" w:color="auto"/>
            <w:bottom w:val="none" w:sz="0" w:space="0" w:color="auto"/>
            <w:right w:val="none" w:sz="0" w:space="0" w:color="auto"/>
          </w:divBdr>
          <w:divsChild>
            <w:div w:id="8319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3886">
      <w:bodyDiv w:val="1"/>
      <w:marLeft w:val="0"/>
      <w:marRight w:val="0"/>
      <w:marTop w:val="0"/>
      <w:marBottom w:val="0"/>
      <w:divBdr>
        <w:top w:val="none" w:sz="0" w:space="0" w:color="auto"/>
        <w:left w:val="none" w:sz="0" w:space="0" w:color="auto"/>
        <w:bottom w:val="none" w:sz="0" w:space="0" w:color="auto"/>
        <w:right w:val="none" w:sz="0" w:space="0" w:color="auto"/>
      </w:divBdr>
      <w:divsChild>
        <w:div w:id="1810979956">
          <w:marLeft w:val="0"/>
          <w:marRight w:val="0"/>
          <w:marTop w:val="0"/>
          <w:marBottom w:val="0"/>
          <w:divBdr>
            <w:top w:val="none" w:sz="0" w:space="0" w:color="auto"/>
            <w:left w:val="none" w:sz="0" w:space="0" w:color="auto"/>
            <w:bottom w:val="none" w:sz="0" w:space="0" w:color="auto"/>
            <w:right w:val="none" w:sz="0" w:space="0" w:color="auto"/>
          </w:divBdr>
          <w:divsChild>
            <w:div w:id="1373074863">
              <w:marLeft w:val="0"/>
              <w:marRight w:val="0"/>
              <w:marTop w:val="0"/>
              <w:marBottom w:val="0"/>
              <w:divBdr>
                <w:top w:val="none" w:sz="0" w:space="0" w:color="auto"/>
                <w:left w:val="none" w:sz="0" w:space="0" w:color="auto"/>
                <w:bottom w:val="none" w:sz="0" w:space="0" w:color="auto"/>
                <w:right w:val="none" w:sz="0" w:space="0" w:color="auto"/>
              </w:divBdr>
              <w:divsChild>
                <w:div w:id="4406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392">
      <w:bodyDiv w:val="1"/>
      <w:marLeft w:val="0"/>
      <w:marRight w:val="0"/>
      <w:marTop w:val="0"/>
      <w:marBottom w:val="0"/>
      <w:divBdr>
        <w:top w:val="none" w:sz="0" w:space="0" w:color="auto"/>
        <w:left w:val="none" w:sz="0" w:space="0" w:color="auto"/>
        <w:bottom w:val="none" w:sz="0" w:space="0" w:color="auto"/>
        <w:right w:val="none" w:sz="0" w:space="0" w:color="auto"/>
      </w:divBdr>
    </w:div>
    <w:div w:id="1924028256">
      <w:bodyDiv w:val="1"/>
      <w:marLeft w:val="0"/>
      <w:marRight w:val="0"/>
      <w:marTop w:val="0"/>
      <w:marBottom w:val="0"/>
      <w:divBdr>
        <w:top w:val="none" w:sz="0" w:space="0" w:color="auto"/>
        <w:left w:val="none" w:sz="0" w:space="0" w:color="auto"/>
        <w:bottom w:val="none" w:sz="0" w:space="0" w:color="auto"/>
        <w:right w:val="none" w:sz="0" w:space="0" w:color="auto"/>
      </w:divBdr>
      <w:divsChild>
        <w:div w:id="54206584">
          <w:marLeft w:val="0"/>
          <w:marRight w:val="0"/>
          <w:marTop w:val="0"/>
          <w:marBottom w:val="90"/>
          <w:divBdr>
            <w:top w:val="none" w:sz="0" w:space="0" w:color="auto"/>
            <w:left w:val="none" w:sz="0" w:space="0" w:color="auto"/>
            <w:bottom w:val="none" w:sz="0" w:space="0" w:color="auto"/>
            <w:right w:val="none" w:sz="0" w:space="0" w:color="auto"/>
          </w:divBdr>
          <w:divsChild>
            <w:div w:id="1481457058">
              <w:marLeft w:val="0"/>
              <w:marRight w:val="0"/>
              <w:marTop w:val="0"/>
              <w:marBottom w:val="0"/>
              <w:divBdr>
                <w:top w:val="none" w:sz="0" w:space="0" w:color="auto"/>
                <w:left w:val="none" w:sz="0" w:space="0" w:color="auto"/>
                <w:bottom w:val="none" w:sz="0" w:space="0" w:color="auto"/>
                <w:right w:val="none" w:sz="0" w:space="0" w:color="auto"/>
              </w:divBdr>
            </w:div>
          </w:divsChild>
        </w:div>
        <w:div w:id="230697117">
          <w:marLeft w:val="0"/>
          <w:marRight w:val="0"/>
          <w:marTop w:val="0"/>
          <w:marBottom w:val="90"/>
          <w:divBdr>
            <w:top w:val="none" w:sz="0" w:space="0" w:color="auto"/>
            <w:left w:val="none" w:sz="0" w:space="0" w:color="auto"/>
            <w:bottom w:val="none" w:sz="0" w:space="0" w:color="auto"/>
            <w:right w:val="none" w:sz="0" w:space="0" w:color="auto"/>
          </w:divBdr>
          <w:divsChild>
            <w:div w:id="471798932">
              <w:marLeft w:val="0"/>
              <w:marRight w:val="0"/>
              <w:marTop w:val="0"/>
              <w:marBottom w:val="0"/>
              <w:divBdr>
                <w:top w:val="none" w:sz="0" w:space="0" w:color="auto"/>
                <w:left w:val="none" w:sz="0" w:space="0" w:color="auto"/>
                <w:bottom w:val="none" w:sz="0" w:space="0" w:color="auto"/>
                <w:right w:val="none" w:sz="0" w:space="0" w:color="auto"/>
              </w:divBdr>
            </w:div>
          </w:divsChild>
        </w:div>
        <w:div w:id="533931260">
          <w:marLeft w:val="0"/>
          <w:marRight w:val="0"/>
          <w:marTop w:val="0"/>
          <w:marBottom w:val="90"/>
          <w:divBdr>
            <w:top w:val="none" w:sz="0" w:space="0" w:color="auto"/>
            <w:left w:val="none" w:sz="0" w:space="0" w:color="auto"/>
            <w:bottom w:val="none" w:sz="0" w:space="0" w:color="auto"/>
            <w:right w:val="none" w:sz="0" w:space="0" w:color="auto"/>
          </w:divBdr>
          <w:divsChild>
            <w:div w:id="6633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513">
      <w:bodyDiv w:val="1"/>
      <w:marLeft w:val="0"/>
      <w:marRight w:val="0"/>
      <w:marTop w:val="0"/>
      <w:marBottom w:val="0"/>
      <w:divBdr>
        <w:top w:val="none" w:sz="0" w:space="0" w:color="auto"/>
        <w:left w:val="none" w:sz="0" w:space="0" w:color="auto"/>
        <w:bottom w:val="none" w:sz="0" w:space="0" w:color="auto"/>
        <w:right w:val="none" w:sz="0" w:space="0" w:color="auto"/>
      </w:divBdr>
      <w:divsChild>
        <w:div w:id="1129594807">
          <w:marLeft w:val="0"/>
          <w:marRight w:val="0"/>
          <w:marTop w:val="0"/>
          <w:marBottom w:val="0"/>
          <w:divBdr>
            <w:top w:val="none" w:sz="0" w:space="0" w:color="auto"/>
            <w:left w:val="none" w:sz="0" w:space="0" w:color="auto"/>
            <w:bottom w:val="none" w:sz="0" w:space="0" w:color="auto"/>
            <w:right w:val="none" w:sz="0" w:space="0" w:color="auto"/>
          </w:divBdr>
          <w:divsChild>
            <w:div w:id="112141259">
              <w:marLeft w:val="0"/>
              <w:marRight w:val="0"/>
              <w:marTop w:val="0"/>
              <w:marBottom w:val="0"/>
              <w:divBdr>
                <w:top w:val="none" w:sz="0" w:space="0" w:color="auto"/>
                <w:left w:val="none" w:sz="0" w:space="0" w:color="auto"/>
                <w:bottom w:val="none" w:sz="0" w:space="0" w:color="auto"/>
                <w:right w:val="none" w:sz="0" w:space="0" w:color="auto"/>
              </w:divBdr>
              <w:divsChild>
                <w:div w:id="8104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B8C6-E8BE-443D-BADB-EAE82394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Statement</vt:lpstr>
    </vt:vector>
  </TitlesOfParts>
  <Company>*</Company>
  <LinksUpToDate>false</LinksUpToDate>
  <CharactersWithSpaces>3127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Comfy</dc:creator>
  <cp:lastModifiedBy>Comfy</cp:lastModifiedBy>
  <cp:revision>2</cp:revision>
  <cp:lastPrinted>2015-02-02T11:45:00Z</cp:lastPrinted>
  <dcterms:created xsi:type="dcterms:W3CDTF">2015-02-02T19:40:00Z</dcterms:created>
  <dcterms:modified xsi:type="dcterms:W3CDTF">2015-02-02T19:40:00Z</dcterms:modified>
</cp:coreProperties>
</file>